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29" w:rsidRPr="00074845" w:rsidRDefault="009E4129" w:rsidP="009E4129">
      <w:pPr>
        <w:widowControl/>
        <w:spacing w:line="500" w:lineRule="exact"/>
        <w:ind w:left="1265" w:hangingChars="450" w:hanging="126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5FC">
        <w:rPr>
          <w:rFonts w:ascii="Times New Roman" w:hAnsi="Times New Roman" w:cs="Times New Roman"/>
          <w:b/>
          <w:color w:val="000000"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3</w:t>
      </w:r>
      <w:r w:rsidRPr="001A25FC">
        <w:rPr>
          <w:rFonts w:ascii="Times New Roman" w:hAnsi="Times New Roman" w:cs="Times New Roman"/>
          <w:b/>
          <w:color w:val="000000"/>
          <w:sz w:val="28"/>
          <w:szCs w:val="28"/>
        </w:rPr>
        <w:t>：</w:t>
      </w:r>
    </w:p>
    <w:p w:rsidR="009E4129" w:rsidRPr="00817D4D" w:rsidRDefault="009E4129" w:rsidP="009E4129">
      <w:pPr>
        <w:widowControl/>
        <w:spacing w:line="500" w:lineRule="exact"/>
        <w:ind w:left="1622" w:hangingChars="450" w:hanging="1622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817D4D">
        <w:rPr>
          <w:rFonts w:ascii="Times New Roman" w:eastAsia="华文中宋" w:hAnsi="Times New Roman" w:cs="Times New Roman"/>
          <w:b/>
          <w:sz w:val="36"/>
          <w:szCs w:val="36"/>
        </w:rPr>
        <w:t>中国科学院北京分院科研人员</w:t>
      </w:r>
    </w:p>
    <w:p w:rsidR="009E4129" w:rsidRPr="00F86D17" w:rsidRDefault="009E4129" w:rsidP="009E4129">
      <w:pPr>
        <w:widowControl/>
        <w:spacing w:line="500" w:lineRule="exact"/>
        <w:ind w:left="1622" w:hangingChars="450" w:hanging="1622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817D4D">
        <w:rPr>
          <w:rFonts w:ascii="Times New Roman" w:eastAsia="华文中宋" w:hAnsi="Times New Roman" w:cs="Times New Roman"/>
          <w:b/>
          <w:sz w:val="36"/>
          <w:szCs w:val="36"/>
        </w:rPr>
        <w:t>科技成果转化培训班</w:t>
      </w:r>
      <w:r w:rsidRPr="00F86D17">
        <w:rPr>
          <w:rFonts w:ascii="Times New Roman" w:eastAsia="华文中宋" w:hAnsi="Times New Roman" w:cs="Times New Roman"/>
          <w:b/>
          <w:sz w:val="36"/>
          <w:szCs w:val="36"/>
        </w:rPr>
        <w:t>师资介绍</w:t>
      </w:r>
    </w:p>
    <w:p w:rsidR="009E4129" w:rsidRPr="001A25FC" w:rsidRDefault="009E4129" w:rsidP="009E4129">
      <w:pPr>
        <w:widowControl/>
        <w:spacing w:line="500" w:lineRule="exact"/>
        <w:ind w:left="1446" w:hangingChars="450" w:hanging="1446"/>
        <w:rPr>
          <w:rFonts w:ascii="Times New Roman" w:eastAsia="黑体" w:hAnsi="Times New Roman" w:cs="Times New Roman"/>
          <w:b/>
          <w:sz w:val="32"/>
          <w:szCs w:val="32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5245"/>
      </w:tblGrid>
      <w:tr w:rsidR="009E4129" w:rsidRPr="001A25FC" w:rsidTr="00617790">
        <w:tc>
          <w:tcPr>
            <w:tcW w:w="851" w:type="dxa"/>
            <w:vAlign w:val="center"/>
          </w:tcPr>
          <w:p w:rsidR="009E4129" w:rsidRPr="001A25FC" w:rsidRDefault="009E4129" w:rsidP="00617790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FC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9E4129" w:rsidRPr="001A25FC" w:rsidRDefault="009E4129" w:rsidP="00617790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FC">
              <w:rPr>
                <w:rFonts w:ascii="Times New Roman" w:hAnsi="Times New Roman" w:cs="Times New Roman"/>
                <w:b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9E4129" w:rsidRPr="001569D0" w:rsidRDefault="009E4129" w:rsidP="00617790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1569D0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主讲老师</w:t>
            </w:r>
          </w:p>
        </w:tc>
        <w:tc>
          <w:tcPr>
            <w:tcW w:w="5245" w:type="dxa"/>
            <w:vAlign w:val="center"/>
          </w:tcPr>
          <w:p w:rsidR="009E4129" w:rsidRPr="001A25FC" w:rsidRDefault="009E4129" w:rsidP="00617790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FC">
              <w:rPr>
                <w:rFonts w:ascii="Times New Roman" w:hAnsi="Times New Roman" w:cs="Times New Roman"/>
                <w:b/>
                <w:sz w:val="28"/>
                <w:szCs w:val="28"/>
              </w:rPr>
              <w:t>个人介绍</w:t>
            </w:r>
          </w:p>
        </w:tc>
      </w:tr>
      <w:tr w:rsidR="009E4129" w:rsidRPr="001A25FC" w:rsidTr="00617790"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团队建设</w:t>
            </w:r>
          </w:p>
        </w:tc>
        <w:tc>
          <w:tcPr>
            <w:tcW w:w="1559" w:type="dxa"/>
            <w:vAlign w:val="center"/>
          </w:tcPr>
          <w:p w:rsidR="009E4129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邢亚杰</w:t>
            </w:r>
          </w:p>
        </w:tc>
        <w:tc>
          <w:tcPr>
            <w:tcW w:w="5245" w:type="dxa"/>
          </w:tcPr>
          <w:p w:rsidR="009E4129" w:rsidRPr="00B778F9" w:rsidRDefault="009E4129" w:rsidP="00617790">
            <w:pPr>
              <w:rPr>
                <w:sz w:val="28"/>
                <w:szCs w:val="28"/>
              </w:rPr>
            </w:pPr>
            <w:r w:rsidRPr="00B778F9">
              <w:rPr>
                <w:rFonts w:hint="eastAsia"/>
              </w:rPr>
              <w:t>中国科学院心理所</w:t>
            </w:r>
            <w:r w:rsidRPr="00B778F9">
              <w:rPr>
                <w:rFonts w:hint="eastAsia"/>
              </w:rPr>
              <w:t>EAP</w:t>
            </w:r>
            <w:r w:rsidRPr="00B778F9">
              <w:rPr>
                <w:rFonts w:hint="eastAsia"/>
              </w:rPr>
              <w:t>中心培训师、咨询</w:t>
            </w:r>
            <w:proofErr w:type="gramStart"/>
            <w:r w:rsidRPr="00B778F9">
              <w:rPr>
                <w:rFonts w:hint="eastAsia"/>
              </w:rPr>
              <w:t>师国家心理咨询师培训</w:t>
            </w:r>
            <w:proofErr w:type="gramEnd"/>
            <w:r w:rsidRPr="00B778F9">
              <w:rPr>
                <w:rFonts w:hint="eastAsia"/>
              </w:rPr>
              <w:t>师</w:t>
            </w:r>
            <w:r>
              <w:rPr>
                <w:rFonts w:hint="eastAsia"/>
              </w:rPr>
              <w:t>。</w:t>
            </w:r>
            <w:r w:rsidRPr="00B778F9">
              <w:rPr>
                <w:rFonts w:hint="eastAsia"/>
              </w:rPr>
              <w:t>北京金色雨林学习能力研究中心专家</w:t>
            </w:r>
            <w:r>
              <w:rPr>
                <w:rFonts w:hint="eastAsia"/>
              </w:rPr>
              <w:t>，</w:t>
            </w:r>
            <w:r w:rsidRPr="00B778F9">
              <w:rPr>
                <w:rFonts w:hint="eastAsia"/>
              </w:rPr>
              <w:t>顾问中央电视台平安健康家庭大奖赛总决选心理专家评委</w:t>
            </w:r>
            <w:r>
              <w:rPr>
                <w:rFonts w:hint="eastAsia"/>
              </w:rPr>
              <w:t>，</w:t>
            </w:r>
            <w:r w:rsidRPr="00B778F9">
              <w:rPr>
                <w:rFonts w:hint="eastAsia"/>
              </w:rPr>
              <w:t>全国首批优秀心理学工作者</w:t>
            </w:r>
            <w:r>
              <w:rPr>
                <w:rFonts w:hint="eastAsia"/>
              </w:rPr>
              <w:t>，</w:t>
            </w:r>
            <w:r w:rsidRPr="00B778F9">
              <w:rPr>
                <w:rFonts w:hint="eastAsia"/>
              </w:rPr>
              <w:t>2008</w:t>
            </w:r>
            <w:r w:rsidRPr="00B778F9">
              <w:rPr>
                <w:rFonts w:hint="eastAsia"/>
              </w:rPr>
              <w:t>年</w:t>
            </w:r>
            <w:proofErr w:type="gramStart"/>
            <w:r w:rsidRPr="00B778F9">
              <w:rPr>
                <w:rFonts w:hint="eastAsia"/>
              </w:rPr>
              <w:t>汶</w:t>
            </w:r>
            <w:proofErr w:type="gramEnd"/>
            <w:r w:rsidRPr="00B778F9">
              <w:rPr>
                <w:rFonts w:hint="eastAsia"/>
              </w:rPr>
              <w:t>川大地震心理救援专家组成员</w:t>
            </w:r>
          </w:p>
        </w:tc>
      </w:tr>
      <w:tr w:rsidR="009E4129" w:rsidRPr="001A25FC" w:rsidTr="00617790"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D3BBD">
              <w:rPr>
                <w:rFonts w:ascii="宋体" w:eastAsia="宋体" w:hAnsi="宋体" w:cs="宋体" w:hint="eastAsia"/>
                <w:szCs w:val="21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孙建国</w:t>
            </w:r>
          </w:p>
        </w:tc>
        <w:tc>
          <w:tcPr>
            <w:tcW w:w="5245" w:type="dxa"/>
          </w:tcPr>
          <w:p w:rsidR="009E4129" w:rsidRPr="003D3BBD" w:rsidRDefault="009E4129" w:rsidP="00617790">
            <w:pPr>
              <w:widowControl/>
              <w:rPr>
                <w:rFonts w:ascii="宋体" w:eastAsia="宋体" w:hAnsi="宋体" w:cs="宋体"/>
                <w:szCs w:val="21"/>
              </w:rPr>
            </w:pPr>
            <w:r w:rsidRPr="00074845">
              <w:rPr>
                <w:rFonts w:ascii="宋体" w:eastAsia="宋体" w:hAnsi="宋体" w:cs="宋体" w:hint="eastAsia"/>
                <w:szCs w:val="21"/>
              </w:rPr>
              <w:t>计算所财务资产处，在研究所从事财务管理工作近20年，在多家企事业单位授课，有丰富的财务管理以及授课经验</w:t>
            </w:r>
          </w:p>
        </w:tc>
      </w:tr>
      <w:tr w:rsidR="009E4129" w:rsidRPr="001A25FC" w:rsidTr="00617790"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817D4D">
              <w:rPr>
                <w:rFonts w:ascii="宋体" w:eastAsia="宋体" w:hAnsi="宋体" w:cs="宋体"/>
                <w:szCs w:val="21"/>
              </w:rPr>
              <w:t>项目申请</w:t>
            </w:r>
            <w:r w:rsidRPr="00817D4D">
              <w:rPr>
                <w:rFonts w:ascii="宋体" w:eastAsia="宋体" w:hAnsi="宋体" w:cs="宋体" w:hint="eastAsia"/>
                <w:szCs w:val="21"/>
              </w:rPr>
              <w:t>书</w:t>
            </w:r>
          </w:p>
        </w:tc>
        <w:tc>
          <w:tcPr>
            <w:tcW w:w="1559" w:type="dxa"/>
            <w:vAlign w:val="center"/>
          </w:tcPr>
          <w:p w:rsidR="009E4129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刘卫华</w:t>
            </w:r>
          </w:p>
        </w:tc>
        <w:tc>
          <w:tcPr>
            <w:tcW w:w="5245" w:type="dxa"/>
          </w:tcPr>
          <w:p w:rsidR="009E4129" w:rsidRPr="00074845" w:rsidRDefault="009E4129" w:rsidP="00617790">
            <w:pPr>
              <w:widowControl/>
              <w:rPr>
                <w:rFonts w:ascii="宋体" w:eastAsia="宋体" w:hAnsi="宋体" w:cs="宋体"/>
                <w:szCs w:val="21"/>
              </w:rPr>
            </w:pPr>
            <w:r w:rsidRPr="00817D4D">
              <w:rPr>
                <w:rFonts w:ascii="宋体" w:eastAsia="宋体" w:hAnsi="宋体" w:cs="宋体" w:hint="eastAsia"/>
                <w:szCs w:val="21"/>
              </w:rPr>
              <w:t>北京市科学技术委员会发展计划处副处长，曾先后在北京市自然科学基金委员会、北京生物技术和新医药产业促进中心等单位担任管理职务。负责组织了多项“京津冀协同创新共同体建设”重大项目，参与起草《北京加强全国科技创新中心建设重点任务实施方案（2017-2020年）》，熟悉国家和北京市科技创新政策，有着丰富的科技项目组织和管理经验。</w:t>
            </w:r>
          </w:p>
        </w:tc>
      </w:tr>
      <w:tr w:rsidR="009E4129" w:rsidRPr="001A25FC" w:rsidTr="00617790">
        <w:trPr>
          <w:trHeight w:val="926"/>
        </w:trPr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E4129" w:rsidRPr="007E6C3F" w:rsidRDefault="009E4129" w:rsidP="0061779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7E6C3F">
              <w:rPr>
                <w:rFonts w:ascii="宋体" w:eastAsia="宋体" w:hAnsi="宋体" w:cs="宋体"/>
                <w:szCs w:val="21"/>
              </w:rPr>
              <w:t>科技成果转化系列法规政策</w:t>
            </w:r>
            <w:r>
              <w:rPr>
                <w:rFonts w:ascii="宋体" w:eastAsia="宋体" w:hAnsi="宋体" w:cs="宋体" w:hint="eastAsia"/>
                <w:szCs w:val="21"/>
              </w:rPr>
              <w:t>及</w:t>
            </w:r>
            <w:r w:rsidRPr="007E6C3F">
              <w:rPr>
                <w:rFonts w:ascii="宋体" w:eastAsia="宋体" w:hAnsi="宋体" w:cs="宋体"/>
                <w:szCs w:val="21"/>
              </w:rPr>
              <w:t>中关村先行先</w:t>
            </w:r>
            <w:proofErr w:type="gramStart"/>
            <w:r w:rsidRPr="007E6C3F">
              <w:rPr>
                <w:rFonts w:ascii="宋体" w:eastAsia="宋体" w:hAnsi="宋体" w:cs="宋体"/>
                <w:szCs w:val="21"/>
              </w:rPr>
              <w:t>试政策</w:t>
            </w:r>
            <w:proofErr w:type="gramEnd"/>
            <w:r w:rsidRPr="007E6C3F">
              <w:rPr>
                <w:rFonts w:ascii="宋体" w:eastAsia="宋体" w:hAnsi="宋体" w:cs="宋体"/>
                <w:szCs w:val="21"/>
              </w:rPr>
              <w:t>解读</w:t>
            </w:r>
          </w:p>
        </w:tc>
        <w:tc>
          <w:tcPr>
            <w:tcW w:w="1559" w:type="dxa"/>
            <w:vAlign w:val="center"/>
          </w:tcPr>
          <w:p w:rsidR="009E4129" w:rsidRPr="007E6C3F" w:rsidRDefault="009E4129" w:rsidP="00617790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E6C3F">
              <w:rPr>
                <w:rFonts w:ascii="宋体" w:eastAsia="宋体" w:hAnsi="宋体" w:cs="宋体"/>
                <w:szCs w:val="21"/>
              </w:rPr>
              <w:t xml:space="preserve">孙  </w:t>
            </w:r>
            <w:proofErr w:type="gramStart"/>
            <w:r w:rsidRPr="007E6C3F">
              <w:rPr>
                <w:rFonts w:ascii="宋体" w:eastAsia="宋体" w:hAnsi="宋体" w:cs="宋体"/>
                <w:szCs w:val="21"/>
              </w:rPr>
              <w:t>芸</w:t>
            </w:r>
            <w:proofErr w:type="gramEnd"/>
          </w:p>
        </w:tc>
        <w:tc>
          <w:tcPr>
            <w:tcW w:w="5245" w:type="dxa"/>
            <w:vAlign w:val="center"/>
          </w:tcPr>
          <w:p w:rsidR="009E4129" w:rsidRPr="00074845" w:rsidRDefault="009E4129" w:rsidP="00617790">
            <w:r w:rsidRPr="00746271">
              <w:rPr>
                <w:rFonts w:hint="eastAsia"/>
              </w:rPr>
              <w:t>中国技术交易所研究部总经理，现派驻中关村创新平台政策先行先试工作组工作，长期跟踪研究科技成果转化、科技创新相关政策，参与了“京校十条”、中关村股权和分红激励、中关村科技型中小企业标准等政策的研究起草和修订工作，承担了</w:t>
            </w:r>
            <w:r w:rsidRPr="00746271">
              <w:rPr>
                <w:rFonts w:hint="eastAsia"/>
              </w:rPr>
              <w:t>10</w:t>
            </w:r>
            <w:r w:rsidRPr="00746271">
              <w:rPr>
                <w:rFonts w:hint="eastAsia"/>
              </w:rPr>
              <w:t>多项国家、省市关于科技创新相关政策研究课题</w:t>
            </w:r>
          </w:p>
        </w:tc>
      </w:tr>
      <w:tr w:rsidR="009E4129" w:rsidRPr="001A25FC" w:rsidTr="00617790"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E4129" w:rsidRPr="007E6C3F" w:rsidRDefault="009E4129" w:rsidP="00617790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E6C3F">
              <w:rPr>
                <w:rFonts w:ascii="宋体" w:eastAsia="宋体" w:hAnsi="宋体" w:cs="宋体"/>
                <w:szCs w:val="21"/>
              </w:rPr>
              <w:t>从科技成果到商业运营</w:t>
            </w:r>
          </w:p>
        </w:tc>
        <w:tc>
          <w:tcPr>
            <w:tcW w:w="1559" w:type="dxa"/>
            <w:vAlign w:val="center"/>
          </w:tcPr>
          <w:p w:rsidR="009E4129" w:rsidRPr="007E6C3F" w:rsidRDefault="009E4129" w:rsidP="00617790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E6C3F">
              <w:rPr>
                <w:rFonts w:ascii="宋体" w:eastAsia="宋体" w:hAnsi="宋体" w:cs="宋体"/>
                <w:szCs w:val="21"/>
              </w:rPr>
              <w:t>陈荣根</w:t>
            </w:r>
          </w:p>
        </w:tc>
        <w:tc>
          <w:tcPr>
            <w:tcW w:w="5245" w:type="dxa"/>
          </w:tcPr>
          <w:p w:rsidR="009E4129" w:rsidRPr="003D3BBD" w:rsidRDefault="009E4129" w:rsidP="00617790">
            <w:pPr>
              <w:widowControl/>
              <w:rPr>
                <w:rFonts w:ascii="宋体" w:eastAsia="宋体" w:hAnsi="宋体" w:cs="宋体"/>
                <w:szCs w:val="21"/>
              </w:rPr>
            </w:pPr>
            <w:proofErr w:type="gramStart"/>
            <w:r w:rsidRPr="00746271">
              <w:rPr>
                <w:rFonts w:hint="eastAsia"/>
              </w:rPr>
              <w:t>创客总部</w:t>
            </w:r>
            <w:proofErr w:type="gramEnd"/>
            <w:r w:rsidRPr="00746271">
              <w:rPr>
                <w:rFonts w:hint="eastAsia"/>
              </w:rPr>
              <w:t>合伙人，北大校友创业联合会副会长，北京悦成三际科技有限公司董事长。北京大学数学校友理事会理事、山东理工大学兼职教授、中关村高端领军人才、科技部评审专家。投资孵化高校和科研院所的前沿技术与技术精英，聚焦泛人工智能和医疗健康，立志于成为科技成果变现第一站。孵化了</w:t>
            </w:r>
            <w:r w:rsidRPr="00746271">
              <w:rPr>
                <w:rFonts w:hint="eastAsia"/>
              </w:rPr>
              <w:t>275</w:t>
            </w:r>
            <w:r w:rsidRPr="00746271">
              <w:rPr>
                <w:rFonts w:hint="eastAsia"/>
              </w:rPr>
              <w:t>个项目，其中</w:t>
            </w:r>
            <w:r w:rsidRPr="00746271">
              <w:rPr>
                <w:rFonts w:hint="eastAsia"/>
              </w:rPr>
              <w:t>122</w:t>
            </w:r>
            <w:r w:rsidRPr="00746271">
              <w:rPr>
                <w:rFonts w:hint="eastAsia"/>
              </w:rPr>
              <w:t>个项目拿到了共</w:t>
            </w:r>
            <w:r w:rsidRPr="00746271">
              <w:rPr>
                <w:rFonts w:hint="eastAsia"/>
              </w:rPr>
              <w:t>11.3</w:t>
            </w:r>
            <w:r w:rsidRPr="00746271">
              <w:rPr>
                <w:rFonts w:hint="eastAsia"/>
              </w:rPr>
              <w:t>亿的融资，</w:t>
            </w:r>
            <w:proofErr w:type="gramStart"/>
            <w:r w:rsidRPr="00746271">
              <w:rPr>
                <w:rFonts w:hint="eastAsia"/>
              </w:rPr>
              <w:t>创客总部</w:t>
            </w:r>
            <w:proofErr w:type="gramEnd"/>
            <w:r w:rsidRPr="00746271">
              <w:rPr>
                <w:rFonts w:hint="eastAsia"/>
              </w:rPr>
              <w:t>投资了其中</w:t>
            </w:r>
            <w:r w:rsidRPr="00746271">
              <w:rPr>
                <w:rFonts w:hint="eastAsia"/>
              </w:rPr>
              <w:t>50</w:t>
            </w:r>
            <w:r w:rsidRPr="00746271">
              <w:rPr>
                <w:rFonts w:hint="eastAsia"/>
              </w:rPr>
              <w:t>个项目</w:t>
            </w:r>
          </w:p>
        </w:tc>
      </w:tr>
      <w:tr w:rsidR="009E4129" w:rsidRPr="001A25FC" w:rsidTr="00617790">
        <w:trPr>
          <w:trHeight w:val="2275"/>
        </w:trPr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知识产权管理体系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D3BBD">
              <w:rPr>
                <w:rFonts w:ascii="宋体" w:eastAsia="宋体" w:hAnsi="宋体" w:cs="宋体" w:hint="eastAsia"/>
                <w:szCs w:val="21"/>
              </w:rPr>
              <w:t>王海波</w:t>
            </w:r>
          </w:p>
        </w:tc>
        <w:tc>
          <w:tcPr>
            <w:tcW w:w="5245" w:type="dxa"/>
          </w:tcPr>
          <w:p w:rsidR="009E4129" w:rsidRPr="00670A99" w:rsidRDefault="009E4129" w:rsidP="00617790">
            <w:pPr>
              <w:pStyle w:val="a4"/>
              <w:snapToGrid w:val="0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 w:rsidRPr="00670A99">
              <w:rPr>
                <w:rFonts w:ascii="宋体" w:hAnsi="宋体" w:cs="宋体" w:hint="eastAsia"/>
                <w:sz w:val="21"/>
                <w:szCs w:val="21"/>
              </w:rPr>
              <w:t>深圳市华夏泰和科技有限公司总裁。曾任中兴通讯股份有限公司法</w:t>
            </w:r>
            <w:proofErr w:type="gramStart"/>
            <w:r w:rsidRPr="00670A99">
              <w:rPr>
                <w:rFonts w:ascii="宋体" w:hAnsi="宋体" w:cs="宋体" w:hint="eastAsia"/>
                <w:sz w:val="21"/>
                <w:szCs w:val="21"/>
              </w:rPr>
              <w:t>务</w:t>
            </w:r>
            <w:proofErr w:type="gramEnd"/>
            <w:r w:rsidRPr="00670A99">
              <w:rPr>
                <w:rFonts w:ascii="宋体" w:hAnsi="宋体" w:cs="宋体" w:hint="eastAsia"/>
                <w:sz w:val="21"/>
                <w:szCs w:val="21"/>
              </w:rPr>
              <w:t>中心副主任（副总裁级）、知识产权总监，兼任深圳市华信天线技术有限公司总裁。入选全球知识产权权威杂志MIP的全球知识产权年度影响力50人、全国首批知识产权领军人才、全国首批百名知识产权专家级人才、2011年度全国知识产权最具影响力人物</w:t>
            </w:r>
            <w:r>
              <w:rPr>
                <w:rFonts w:ascii="宋体" w:hAnsi="宋体" w:cs="宋体" w:hint="eastAsia"/>
                <w:sz w:val="21"/>
                <w:szCs w:val="21"/>
              </w:rPr>
              <w:t>等</w:t>
            </w:r>
            <w:r w:rsidRPr="00670A99">
              <w:rPr>
                <w:rFonts w:ascii="宋体" w:hAnsi="宋体" w:cs="宋体" w:hint="eastAsia"/>
                <w:sz w:val="21"/>
                <w:szCs w:val="21"/>
              </w:rPr>
              <w:t>。受邀参加数十次国家级和省部级论坛</w:t>
            </w:r>
            <w:proofErr w:type="gramStart"/>
            <w:r w:rsidRPr="00670A99">
              <w:rPr>
                <w:rFonts w:ascii="宋体" w:hAnsi="宋体" w:cs="宋体" w:hint="eastAsia"/>
                <w:sz w:val="21"/>
                <w:szCs w:val="21"/>
              </w:rPr>
              <w:t>作主</w:t>
            </w:r>
            <w:proofErr w:type="gramEnd"/>
            <w:r w:rsidRPr="00670A99">
              <w:rPr>
                <w:rFonts w:ascii="宋体" w:hAnsi="宋体" w:cs="宋体" w:hint="eastAsia"/>
                <w:sz w:val="21"/>
                <w:szCs w:val="21"/>
              </w:rPr>
              <w:t>题演讲，并多次接受中央电视台、凤凰卫视、路透社、彭博、IAM等国内外知名媒体专访，发表多篇知识产权文章</w:t>
            </w:r>
          </w:p>
        </w:tc>
      </w:tr>
      <w:tr w:rsidR="009E4129" w:rsidRPr="001A25FC" w:rsidTr="00617790"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知识产权布局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D3BBD">
              <w:rPr>
                <w:rFonts w:ascii="宋体" w:eastAsia="宋体" w:hAnsi="宋体" w:cs="宋体" w:hint="eastAsia"/>
                <w:szCs w:val="21"/>
              </w:rPr>
              <w:t>张雪红</w:t>
            </w:r>
          </w:p>
        </w:tc>
        <w:tc>
          <w:tcPr>
            <w:tcW w:w="5245" w:type="dxa"/>
          </w:tcPr>
          <w:p w:rsidR="009E4129" w:rsidRPr="00A03BCF" w:rsidRDefault="009E4129" w:rsidP="00617790">
            <w:pPr>
              <w:widowControl/>
              <w:rPr>
                <w:rFonts w:ascii="宋体" w:eastAsia="宋体" w:hAnsi="宋体" w:cs="宋体"/>
                <w:szCs w:val="21"/>
              </w:rPr>
            </w:pPr>
            <w:r w:rsidRPr="00A03BCF">
              <w:rPr>
                <w:rFonts w:hint="eastAsia"/>
              </w:rPr>
              <w:t>现任大唐电信科技产业集团法律与知识产权部总经理，综合负责集团法律和知识产权工作规划与管理、合法合</w:t>
            </w:r>
            <w:proofErr w:type="gramStart"/>
            <w:r w:rsidRPr="00A03BCF">
              <w:rPr>
                <w:rFonts w:hint="eastAsia"/>
              </w:rPr>
              <w:t>规</w:t>
            </w:r>
            <w:proofErr w:type="gramEnd"/>
            <w:r w:rsidRPr="00A03BCF">
              <w:rPr>
                <w:rFonts w:hint="eastAsia"/>
              </w:rPr>
              <w:t>、风险防控、争议解决、知识产权保护及许可交易等。入选全国知识产权领军人才、工业和信息化领域知识产权专家以及北京市知识产权专家；曾获全国专利运用与产业化优秀工作者、信息产业部科技进步奖、国家级企业管理现代化创新成果奖，北京知识产权发展沙龙行业知识产权贡献奖等多项荣誉</w:t>
            </w:r>
          </w:p>
        </w:tc>
      </w:tr>
      <w:tr w:rsidR="009E4129" w:rsidRPr="001A25FC" w:rsidTr="00617790"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知识产权资产管理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D3BBD">
              <w:rPr>
                <w:rFonts w:ascii="宋体" w:eastAsia="宋体" w:hAnsi="宋体" w:cs="宋体" w:hint="eastAsia"/>
                <w:szCs w:val="21"/>
              </w:rPr>
              <w:t>窦鑫磊</w:t>
            </w:r>
          </w:p>
        </w:tc>
        <w:tc>
          <w:tcPr>
            <w:tcW w:w="5245" w:type="dxa"/>
          </w:tcPr>
          <w:p w:rsidR="009E4129" w:rsidRPr="00670A99" w:rsidRDefault="009E4129" w:rsidP="00617790">
            <w:r>
              <w:rPr>
                <w:rFonts w:hint="eastAsia"/>
              </w:rPr>
              <w:t>北大方正集团有限公司知识产权总监。北京知识产权保护协会监事长，国家知识产权局评选为专利信息领军人才，入选国家知识产权局百千万人才工程，工信部知识产权专家</w:t>
            </w:r>
            <w:proofErr w:type="gramStart"/>
            <w:r>
              <w:rPr>
                <w:rFonts w:hint="eastAsia"/>
              </w:rPr>
              <w:t>库专家</w:t>
            </w:r>
            <w:proofErr w:type="gramEnd"/>
            <w:r>
              <w:rPr>
                <w:rFonts w:hint="eastAsia"/>
              </w:rPr>
              <w:t>国家知识产权局职务发明条例研究组专家，中国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知识产权维权援助中心专家，北京知识产权聘为企业知识产权专家团专家成员，北京知识产权局聘请为音视频领域知识产权专家，北大光华管理学院案例研究中心聘为客座研究员</w:t>
            </w:r>
          </w:p>
        </w:tc>
      </w:tr>
      <w:tr w:rsidR="009E4129" w:rsidRPr="001A25FC" w:rsidTr="00617790"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知识产权运营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D3BBD">
              <w:rPr>
                <w:rFonts w:ascii="宋体" w:eastAsia="宋体" w:hAnsi="宋体" w:cs="宋体" w:hint="eastAsia"/>
                <w:szCs w:val="21"/>
              </w:rPr>
              <w:t>袁真富</w:t>
            </w:r>
          </w:p>
        </w:tc>
        <w:tc>
          <w:tcPr>
            <w:tcW w:w="5245" w:type="dxa"/>
          </w:tcPr>
          <w:p w:rsidR="009E4129" w:rsidRPr="003D3BBD" w:rsidRDefault="009E4129" w:rsidP="0061779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670A99">
              <w:rPr>
                <w:rFonts w:ascii="宋体" w:eastAsia="宋体" w:hAnsi="宋体" w:cs="宋体" w:hint="eastAsia"/>
                <w:szCs w:val="21"/>
              </w:rPr>
              <w:t>法学博士，上海大学知识产权学院副院长、副教授，兼任上海对外经贸大学律师学院教授，复旦大学知识产权研究中心特邀研究员，上海知识产权研究所高级研究员，入选国家知识产权局“全国知识产权领军人才”（2014年）、国家知识产权局“国家知识产权专家库专家”（2014年），第三届上海保护知识产权新闻人物（2010年），入选国家知识产权局首批“百千万知识产权人才工程”百名高层次人才培养人选</w:t>
            </w:r>
          </w:p>
        </w:tc>
      </w:tr>
      <w:tr w:rsidR="009E4129" w:rsidRPr="00C40156" w:rsidTr="00617790"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知识产权与标准战略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D3BBD">
              <w:rPr>
                <w:rFonts w:ascii="宋体" w:eastAsia="宋体" w:hAnsi="宋体" w:cs="宋体" w:hint="eastAsia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3D3BBD">
              <w:rPr>
                <w:rFonts w:ascii="宋体" w:eastAsia="宋体" w:hAnsi="宋体" w:cs="宋体" w:hint="eastAsia"/>
                <w:szCs w:val="21"/>
              </w:rPr>
              <w:t>俊</w:t>
            </w:r>
          </w:p>
        </w:tc>
        <w:tc>
          <w:tcPr>
            <w:tcW w:w="5245" w:type="dxa"/>
          </w:tcPr>
          <w:p w:rsidR="009E4129" w:rsidRPr="003D3BBD" w:rsidRDefault="009E4129" w:rsidP="00617790">
            <w:pPr>
              <w:widowControl/>
              <w:rPr>
                <w:rFonts w:ascii="宋体" w:eastAsia="宋体" w:hAnsi="宋体" w:cs="宋体"/>
                <w:szCs w:val="21"/>
              </w:rPr>
            </w:pPr>
            <w:r w:rsidRPr="00C40156">
              <w:rPr>
                <w:rFonts w:ascii="宋体" w:eastAsia="宋体" w:hAnsi="宋体" w:cs="宋体" w:hint="eastAsia"/>
                <w:szCs w:val="21"/>
              </w:rPr>
              <w:t>国家“百千万知识产权人才工程”百名高层次专家人才、国家知识产权专家库专家、工业及信息化部专家库知识产权专家、中国企业知识产权研究院发起人理事、华南国际经济贸易仲裁委员会仲裁员、深圳市地方领军人才，深圳市知识产权专家委员会委员、深圳国际仲裁院仲裁员、深圳市民商事调解中心调解专家等；中国通信标准化协会（CCSA）</w:t>
            </w:r>
            <w:proofErr w:type="gramStart"/>
            <w:r w:rsidRPr="00C40156">
              <w:rPr>
                <w:rFonts w:ascii="宋体" w:eastAsia="宋体" w:hAnsi="宋体" w:cs="宋体" w:hint="eastAsia"/>
                <w:szCs w:val="21"/>
              </w:rPr>
              <w:t>知识产权家组成员</w:t>
            </w:r>
            <w:proofErr w:type="gramEnd"/>
            <w:r w:rsidRPr="00C40156">
              <w:rPr>
                <w:rFonts w:ascii="宋体" w:eastAsia="宋体" w:hAnsi="宋体" w:cs="宋体" w:hint="eastAsia"/>
                <w:szCs w:val="21"/>
              </w:rPr>
              <w:t>，中国数字音视频编解码技术标准（AVS）专利</w:t>
            </w:r>
            <w:proofErr w:type="gramStart"/>
            <w:r w:rsidRPr="00C40156">
              <w:rPr>
                <w:rFonts w:ascii="宋体" w:eastAsia="宋体" w:hAnsi="宋体" w:cs="宋体" w:hint="eastAsia"/>
                <w:szCs w:val="21"/>
              </w:rPr>
              <w:t>池管理</w:t>
            </w:r>
            <w:proofErr w:type="gramEnd"/>
            <w:r w:rsidRPr="00C40156">
              <w:rPr>
                <w:rFonts w:ascii="宋体" w:eastAsia="宋体" w:hAnsi="宋体" w:cs="宋体" w:hint="eastAsia"/>
                <w:szCs w:val="21"/>
              </w:rPr>
              <w:t>委员会理事等</w:t>
            </w:r>
          </w:p>
        </w:tc>
      </w:tr>
      <w:tr w:rsidR="009E4129" w:rsidRPr="001A25FC" w:rsidTr="00617790">
        <w:tc>
          <w:tcPr>
            <w:tcW w:w="851" w:type="dxa"/>
            <w:vAlign w:val="center"/>
          </w:tcPr>
          <w:p w:rsidR="009E4129" w:rsidRPr="00817D4D" w:rsidRDefault="009E4129" w:rsidP="00617790">
            <w:pPr>
              <w:widowControl/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817D4D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宏观知识产权</w:t>
            </w:r>
          </w:p>
        </w:tc>
        <w:tc>
          <w:tcPr>
            <w:tcW w:w="1559" w:type="dxa"/>
            <w:vAlign w:val="center"/>
          </w:tcPr>
          <w:p w:rsidR="009E4129" w:rsidRPr="003D3BBD" w:rsidRDefault="009E4129" w:rsidP="0061779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D3BBD">
              <w:rPr>
                <w:rFonts w:ascii="宋体" w:eastAsia="宋体" w:hAnsi="宋体" w:cs="宋体" w:hint="eastAsia"/>
                <w:szCs w:val="21"/>
              </w:rPr>
              <w:t>李富山</w:t>
            </w:r>
          </w:p>
        </w:tc>
        <w:tc>
          <w:tcPr>
            <w:tcW w:w="5245" w:type="dxa"/>
          </w:tcPr>
          <w:p w:rsidR="009E4129" w:rsidRPr="00670A99" w:rsidRDefault="009E4129" w:rsidP="00617790">
            <w:r>
              <w:rPr>
                <w:rFonts w:hint="eastAsia"/>
              </w:rPr>
              <w:t>国家知识产权领军人才、专利信息领军人才、国家知识产权专家库成员、广东省知识产权副研究员，广州市仲裁</w:t>
            </w:r>
            <w:proofErr w:type="gramStart"/>
            <w:r>
              <w:rPr>
                <w:rFonts w:hint="eastAsia"/>
              </w:rPr>
              <w:t>委仲裁</w:t>
            </w:r>
            <w:proofErr w:type="gramEnd"/>
            <w:r>
              <w:rPr>
                <w:rFonts w:hint="eastAsia"/>
              </w:rPr>
              <w:t>员，中国名企知识产权经理人沙龙（</w:t>
            </w:r>
            <w:r>
              <w:rPr>
                <w:rFonts w:hint="eastAsia"/>
              </w:rPr>
              <w:t>EIPS</w:t>
            </w:r>
            <w:r>
              <w:rPr>
                <w:rFonts w:hint="eastAsia"/>
              </w:rPr>
              <w:t>）创始人兼两轮轮值主席。兼任大连理工大学、南京理工大学、重庆理工大学、兰州理工大学、中国计量大学、温州知识产权学院兼职教授。历任创维集团法律经理、知识产负责人，深圳市</w:t>
            </w:r>
            <w:proofErr w:type="gramStart"/>
            <w:r>
              <w:rPr>
                <w:rFonts w:hint="eastAsia"/>
              </w:rPr>
              <w:t>同洲</w:t>
            </w:r>
            <w:proofErr w:type="gramEnd"/>
            <w:r>
              <w:rPr>
                <w:rFonts w:hint="eastAsia"/>
              </w:rPr>
              <w:t>电子股份有限公司知识产权长、</w:t>
            </w:r>
            <w:proofErr w:type="gramStart"/>
            <w:r>
              <w:rPr>
                <w:rFonts w:hint="eastAsia"/>
              </w:rPr>
              <w:t>腾讯专利</w:t>
            </w:r>
            <w:proofErr w:type="gramEnd"/>
            <w:r>
              <w:rPr>
                <w:rFonts w:hint="eastAsia"/>
              </w:rPr>
              <w:t>运营总监，创建了创维集团和</w:t>
            </w:r>
            <w:proofErr w:type="gramStart"/>
            <w:r>
              <w:rPr>
                <w:rFonts w:hint="eastAsia"/>
              </w:rPr>
              <w:t>同洲</w:t>
            </w:r>
            <w:proofErr w:type="gramEnd"/>
            <w:r>
              <w:rPr>
                <w:rFonts w:hint="eastAsia"/>
              </w:rPr>
              <w:t>电子知识产权管理体系，有超过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年大型上市公司知识产权管理经验。应邀在中美、中日、中欧、亚洲知识产权营商论坛等各类大型论坛做嘉宾</w:t>
            </w:r>
          </w:p>
        </w:tc>
      </w:tr>
    </w:tbl>
    <w:p w:rsidR="00CD2F15" w:rsidRPr="009E4129" w:rsidRDefault="00CD2F15">
      <w:bookmarkStart w:id="0" w:name="_GoBack"/>
      <w:bookmarkEnd w:id="0"/>
    </w:p>
    <w:sectPr w:rsidR="00CD2F15" w:rsidRPr="009E4129" w:rsidSect="00817D4D">
      <w:pgSz w:w="11906" w:h="16838"/>
      <w:pgMar w:top="1418" w:right="1474" w:bottom="1276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9"/>
    <w:rsid w:val="009E4129"/>
    <w:rsid w:val="00C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9E4129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4"/>
    <w:rsid w:val="009E4129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9E4129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4"/>
    <w:rsid w:val="009E4129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</dc:creator>
  <cp:lastModifiedBy>fdc</cp:lastModifiedBy>
  <cp:revision>1</cp:revision>
  <dcterms:created xsi:type="dcterms:W3CDTF">2017-04-20T03:07:00Z</dcterms:created>
  <dcterms:modified xsi:type="dcterms:W3CDTF">2017-04-20T03:08:00Z</dcterms:modified>
</cp:coreProperties>
</file>